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9814D6">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1E6D02" w:rsidRDefault="00D67EDC" w:rsidP="009814D6">
            <w:pPr>
              <w:rPr>
                <w:rFonts w:ascii="Arial" w:hAnsi="Arial" w:cs="Arial"/>
                <w:b/>
                <w:sz w:val="28"/>
                <w:szCs w:val="28"/>
              </w:rPr>
            </w:pPr>
            <w:r w:rsidRPr="001E6D02">
              <w:rPr>
                <w:rFonts w:ascii="Arial" w:hAnsi="Arial" w:cs="Arial"/>
                <w:b/>
                <w:sz w:val="28"/>
                <w:szCs w:val="28"/>
              </w:rPr>
              <w:t xml:space="preserve">Epoxidharzversiegelung </w:t>
            </w:r>
            <w:r w:rsidR="001E6D02" w:rsidRPr="001E6D02">
              <w:rPr>
                <w:rFonts w:ascii="Arial" w:hAnsi="Arial" w:cs="Arial"/>
                <w:b/>
                <w:sz w:val="28"/>
                <w:szCs w:val="28"/>
              </w:rPr>
              <w:t>2 komp.</w:t>
            </w:r>
          </w:p>
        </w:tc>
      </w:tr>
      <w:tr w:rsidR="006202E6" w:rsidTr="00AF1313">
        <w:tc>
          <w:tcPr>
            <w:tcW w:w="9180" w:type="dxa"/>
          </w:tcPr>
          <w:p w:rsidR="0092060F" w:rsidRDefault="002E0C46" w:rsidP="009814D6">
            <w:pPr>
              <w:rPr>
                <w:rFonts w:ascii="Arial" w:hAnsi="Arial" w:cs="Arial"/>
                <w:b/>
                <w:bCs/>
                <w:sz w:val="18"/>
                <w:szCs w:val="18"/>
              </w:rPr>
            </w:pPr>
            <w:r>
              <w:rPr>
                <w:rFonts w:ascii="Arial" w:hAnsi="Arial" w:cs="Arial"/>
                <w:b/>
                <w:bCs/>
                <w:sz w:val="18"/>
                <w:szCs w:val="18"/>
              </w:rPr>
              <w:t>2</w:t>
            </w:r>
            <w:r w:rsidR="000D054B">
              <w:rPr>
                <w:rFonts w:ascii="Arial" w:hAnsi="Arial" w:cs="Arial"/>
                <w:b/>
                <w:bCs/>
                <w:sz w:val="18"/>
                <w:szCs w:val="18"/>
              </w:rPr>
              <w:t>-komponentige Epoxidharzversiegelung</w:t>
            </w:r>
          </w:p>
          <w:p w:rsidR="008770C1" w:rsidRDefault="008770C1" w:rsidP="009814D6">
            <w:r>
              <w:rPr>
                <w:rFonts w:ascii="Arial" w:hAnsi="Arial" w:cs="Arial"/>
                <w:b/>
                <w:bCs/>
                <w:sz w:val="18"/>
                <w:szCs w:val="18"/>
              </w:rPr>
              <w:t xml:space="preserve">für </w:t>
            </w:r>
            <w:r w:rsidR="00637164">
              <w:rPr>
                <w:rFonts w:ascii="Arial" w:hAnsi="Arial" w:cs="Arial"/>
                <w:b/>
                <w:bCs/>
                <w:sz w:val="18"/>
                <w:szCs w:val="18"/>
              </w:rPr>
              <w:t>hohe</w:t>
            </w:r>
            <w:r>
              <w:rPr>
                <w:rFonts w:ascii="Arial" w:hAnsi="Arial" w:cs="Arial"/>
                <w:b/>
                <w:bCs/>
                <w:sz w:val="18"/>
                <w:szCs w:val="18"/>
              </w:rPr>
              <w:t xml:space="preserve"> </w:t>
            </w:r>
            <w:r w:rsidR="00637164">
              <w:rPr>
                <w:rFonts w:ascii="Arial" w:hAnsi="Arial" w:cs="Arial"/>
                <w:b/>
                <w:bCs/>
                <w:sz w:val="18"/>
                <w:szCs w:val="18"/>
              </w:rPr>
              <w:t>chemische</w:t>
            </w:r>
            <w:r>
              <w:rPr>
                <w:rFonts w:ascii="Arial" w:hAnsi="Arial" w:cs="Arial"/>
                <w:b/>
                <w:bCs/>
                <w:sz w:val="18"/>
                <w:szCs w:val="18"/>
              </w:rPr>
              <w:t xml:space="preserve"> und</w:t>
            </w:r>
            <w:r w:rsidR="00637164">
              <w:rPr>
                <w:rFonts w:ascii="Arial" w:hAnsi="Arial" w:cs="Arial"/>
                <w:b/>
                <w:bCs/>
                <w:sz w:val="18"/>
                <w:szCs w:val="18"/>
              </w:rPr>
              <w:t>/oder</w:t>
            </w:r>
            <w:r>
              <w:rPr>
                <w:rFonts w:ascii="Arial" w:hAnsi="Arial" w:cs="Arial"/>
                <w:b/>
                <w:bCs/>
                <w:sz w:val="18"/>
                <w:szCs w:val="18"/>
              </w:rPr>
              <w:t xml:space="preserve"> </w:t>
            </w:r>
            <w:r w:rsidR="00637164">
              <w:rPr>
                <w:rFonts w:ascii="Arial" w:hAnsi="Arial" w:cs="Arial"/>
                <w:b/>
                <w:bCs/>
                <w:sz w:val="18"/>
                <w:szCs w:val="18"/>
              </w:rPr>
              <w:t>mechanische</w:t>
            </w:r>
            <w:r>
              <w:rPr>
                <w:rFonts w:ascii="Arial" w:hAnsi="Arial" w:cs="Arial"/>
                <w:b/>
                <w:bCs/>
                <w:sz w:val="18"/>
                <w:szCs w:val="18"/>
              </w:rPr>
              <w:t xml:space="preserve"> Be</w:t>
            </w:r>
            <w:r w:rsidR="00637164">
              <w:rPr>
                <w:rFonts w:ascii="Arial" w:hAnsi="Arial" w:cs="Arial"/>
                <w:b/>
                <w:bCs/>
                <w:sz w:val="18"/>
                <w:szCs w:val="18"/>
              </w:rPr>
              <w:t>lastungen im Innenbereich</w:t>
            </w:r>
          </w:p>
        </w:tc>
      </w:tr>
      <w:tr w:rsidR="006202E6" w:rsidRPr="00637164" w:rsidTr="00AF1313">
        <w:tc>
          <w:tcPr>
            <w:tcW w:w="9180" w:type="dxa"/>
          </w:tcPr>
          <w:p w:rsidR="006202E6" w:rsidRDefault="006202E6" w:rsidP="009814D6">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9814D6">
            <w:pPr>
              <w:tabs>
                <w:tab w:val="left" w:pos="4195"/>
              </w:tabs>
              <w:autoSpaceDE w:val="0"/>
              <w:autoSpaceDN w:val="0"/>
              <w:rPr>
                <w:rFonts w:ascii="Arial" w:hAnsi="Arial" w:cs="Arial"/>
                <w:sz w:val="18"/>
                <w:szCs w:val="18"/>
              </w:rPr>
            </w:pPr>
          </w:p>
          <w:p w:rsidR="006202E6" w:rsidRDefault="006202E6" w:rsidP="009814D6">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9814D6">
            <w:pPr>
              <w:tabs>
                <w:tab w:val="left" w:pos="4195"/>
              </w:tabs>
              <w:autoSpaceDE w:val="0"/>
              <w:autoSpaceDN w:val="0"/>
              <w:rPr>
                <w:rFonts w:ascii="Arial" w:hAnsi="Arial" w:cs="Arial"/>
                <w:sz w:val="18"/>
                <w:szCs w:val="18"/>
              </w:rPr>
            </w:pPr>
          </w:p>
          <w:p w:rsidR="006202E6" w:rsidRDefault="006202E6" w:rsidP="009814D6">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9814D6">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9814D6">
            <w:pPr>
              <w:tabs>
                <w:tab w:val="left" w:pos="4195"/>
              </w:tabs>
              <w:autoSpaceDE w:val="0"/>
              <w:autoSpaceDN w:val="0"/>
              <w:rPr>
                <w:rFonts w:ascii="Arial" w:hAnsi="Arial" w:cs="Arial"/>
                <w:sz w:val="18"/>
                <w:szCs w:val="18"/>
              </w:rPr>
            </w:pPr>
          </w:p>
          <w:p w:rsidR="006202E6" w:rsidRDefault="006202E6" w:rsidP="009814D6">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850FFA" w:rsidRDefault="00850FFA" w:rsidP="009814D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9E3CD4">
              <w:rPr>
                <w:rFonts w:ascii="Arial" w:hAnsi="Arial" w:cs="Arial"/>
                <w:sz w:val="18"/>
                <w:szCs w:val="18"/>
              </w:rPr>
              <w:t xml:space="preserve"> </w:t>
            </w:r>
          </w:p>
          <w:p w:rsidR="00850FFA" w:rsidRPr="001E2FA6" w:rsidRDefault="00850FFA" w:rsidP="009814D6">
            <w:pPr>
              <w:autoSpaceDE w:val="0"/>
              <w:autoSpaceDN w:val="0"/>
              <w:rPr>
                <w:rFonts w:ascii="Arial" w:hAnsi="Arial" w:cs="Arial"/>
                <w:sz w:val="18"/>
                <w:szCs w:val="18"/>
              </w:rPr>
            </w:pPr>
            <w:r w:rsidRPr="001E2FA6">
              <w:rPr>
                <w:rFonts w:ascii="Arial" w:hAnsi="Arial" w:cs="Arial"/>
                <w:sz w:val="18"/>
                <w:szCs w:val="18"/>
              </w:rPr>
              <w:t>HADALAN</w:t>
            </w:r>
            <w:r w:rsidRPr="001E2FA6">
              <w:rPr>
                <w:rFonts w:ascii="Arial" w:hAnsi="Arial" w:cs="Arial"/>
                <w:sz w:val="18"/>
                <w:szCs w:val="18"/>
                <w:vertAlign w:val="superscript"/>
              </w:rPr>
              <w:t>®</w:t>
            </w:r>
            <w:r w:rsidRPr="001E2FA6">
              <w:rPr>
                <w:rFonts w:ascii="Arial" w:hAnsi="Arial" w:cs="Arial"/>
                <w:sz w:val="18"/>
                <w:szCs w:val="18"/>
              </w:rPr>
              <w:t xml:space="preserve"> FGM012 57M </w:t>
            </w:r>
          </w:p>
          <w:p w:rsidR="000D054B" w:rsidRDefault="001E2FA6" w:rsidP="009814D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 12E</w:t>
            </w:r>
          </w:p>
          <w:p w:rsidR="009814D6" w:rsidRPr="001E2FA6" w:rsidRDefault="009814D6" w:rsidP="009814D6">
            <w:pPr>
              <w:autoSpaceDE w:val="0"/>
              <w:autoSpaceDN w:val="0"/>
              <w:rPr>
                <w:rFonts w:ascii="Arial" w:hAnsi="Arial" w:cs="Arial"/>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9814D6">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9814D6">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9814D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9814D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9814D6">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9814D6">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9814D6">
            <w:pPr>
              <w:autoSpaceDE w:val="0"/>
              <w:autoSpaceDN w:val="0"/>
              <w:ind w:right="1"/>
              <w:jc w:val="center"/>
              <w:rPr>
                <w:rFonts w:ascii="Arial" w:hAnsi="Arial" w:cs="Arial"/>
                <w:sz w:val="18"/>
                <w:szCs w:val="18"/>
              </w:rPr>
            </w:pPr>
          </w:p>
          <w:p w:rsidR="00E647F3" w:rsidRDefault="00E647F3" w:rsidP="009814D6">
            <w:pPr>
              <w:autoSpaceDE w:val="0"/>
              <w:autoSpaceDN w:val="0"/>
              <w:ind w:right="1"/>
              <w:jc w:val="center"/>
              <w:rPr>
                <w:rFonts w:ascii="Arial" w:hAnsi="Arial" w:cs="Arial"/>
                <w:sz w:val="18"/>
                <w:szCs w:val="18"/>
              </w:rPr>
            </w:pPr>
          </w:p>
          <w:p w:rsidR="00CD340E" w:rsidRDefault="00CD340E"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CD340E" w:rsidRDefault="00CD340E" w:rsidP="009814D6">
            <w:pPr>
              <w:autoSpaceDE w:val="0"/>
              <w:autoSpaceDN w:val="0"/>
              <w:ind w:right="1"/>
              <w:jc w:val="center"/>
              <w:rPr>
                <w:rFonts w:ascii="Arial" w:hAnsi="Arial" w:cs="Arial"/>
                <w:sz w:val="18"/>
                <w:szCs w:val="18"/>
              </w:rPr>
            </w:pPr>
          </w:p>
          <w:p w:rsidR="00E647F3" w:rsidRDefault="00CD340E" w:rsidP="009814D6">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9814D6">
            <w:pPr>
              <w:autoSpaceDE w:val="0"/>
              <w:autoSpaceDN w:val="0"/>
              <w:rPr>
                <w:rFonts w:ascii="Arial" w:hAnsi="Arial" w:cs="Arial"/>
                <w:b/>
                <w:bCs/>
                <w:sz w:val="18"/>
                <w:szCs w:val="18"/>
              </w:rPr>
            </w:pPr>
            <w:r>
              <w:rPr>
                <w:rFonts w:ascii="Arial" w:hAnsi="Arial" w:cs="Arial"/>
                <w:b/>
                <w:bCs/>
                <w:sz w:val="18"/>
                <w:szCs w:val="18"/>
              </w:rPr>
              <w:t>Baustelle einrichten</w:t>
            </w:r>
          </w:p>
          <w:p w:rsidR="00850FFA" w:rsidRPr="003541A1" w:rsidRDefault="00CD340E" w:rsidP="009814D6">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9814D6">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9814D6">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9814D6">
            <w:pPr>
              <w:autoSpaceDE w:val="0"/>
              <w:autoSpaceDN w:val="0"/>
              <w:ind w:right="1"/>
              <w:jc w:val="center"/>
              <w:rPr>
                <w:rFonts w:ascii="Arial" w:hAnsi="Arial" w:cs="Arial"/>
                <w:b/>
                <w:sz w:val="18"/>
                <w:szCs w:val="18"/>
              </w:rPr>
            </w:pPr>
          </w:p>
          <w:p w:rsidR="009814D6" w:rsidRDefault="009814D6" w:rsidP="009814D6">
            <w:pPr>
              <w:autoSpaceDE w:val="0"/>
              <w:autoSpaceDN w:val="0"/>
              <w:ind w:right="1"/>
              <w:jc w:val="center"/>
              <w:rPr>
                <w:rFonts w:ascii="Arial" w:hAnsi="Arial" w:cs="Arial"/>
                <w:b/>
                <w:sz w:val="18"/>
                <w:szCs w:val="18"/>
              </w:rPr>
            </w:pPr>
          </w:p>
          <w:p w:rsidR="009A6B08" w:rsidRDefault="009A6B08" w:rsidP="009814D6">
            <w:pPr>
              <w:autoSpaceDE w:val="0"/>
              <w:autoSpaceDN w:val="0"/>
              <w:ind w:right="1"/>
              <w:rPr>
                <w:rFonts w:ascii="Arial" w:hAnsi="Arial" w:cs="Arial"/>
                <w:b/>
                <w:sz w:val="18"/>
                <w:szCs w:val="18"/>
              </w:rPr>
            </w:pPr>
          </w:p>
          <w:p w:rsidR="00CD340E" w:rsidRPr="00CD340E" w:rsidRDefault="00CD340E" w:rsidP="009814D6">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9814D6">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637164" w:rsidRPr="00CD340E" w:rsidRDefault="009A6B08" w:rsidP="009814D6">
            <w:pPr>
              <w:autoSpaceDE w:val="0"/>
              <w:autoSpaceDN w:val="0"/>
              <w:rPr>
                <w:rFonts w:ascii="Arial" w:hAnsi="Arial" w:cs="Arial"/>
                <w:bCs/>
                <w:sz w:val="18"/>
                <w:szCs w:val="18"/>
              </w:rPr>
            </w:pPr>
            <w:r>
              <w:rPr>
                <w:rFonts w:ascii="Arial" w:hAnsi="Arial" w:cs="Arial"/>
                <w:bCs/>
                <w:sz w:val="18"/>
                <w:szCs w:val="18"/>
              </w:rPr>
              <w:t>Zum Schutz vor Verschmutzungen sin</w:t>
            </w:r>
            <w:r w:rsidR="00F3329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1D0009">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9814D6">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9814D6">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9814D6">
            <w:pPr>
              <w:autoSpaceDE w:val="0"/>
              <w:autoSpaceDN w:val="0"/>
              <w:ind w:right="1"/>
              <w:jc w:val="center"/>
              <w:rPr>
                <w:rFonts w:ascii="Arial" w:hAnsi="Arial" w:cs="Arial"/>
                <w:sz w:val="18"/>
                <w:szCs w:val="18"/>
              </w:rPr>
            </w:pPr>
          </w:p>
          <w:p w:rsidR="003541A1" w:rsidRDefault="003541A1"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0B3103" w:rsidRDefault="000B3103" w:rsidP="009814D6">
            <w:pPr>
              <w:autoSpaceDE w:val="0"/>
              <w:autoSpaceDN w:val="0"/>
              <w:ind w:right="1"/>
              <w:rPr>
                <w:rFonts w:ascii="Arial" w:hAnsi="Arial" w:cs="Arial"/>
                <w:sz w:val="18"/>
                <w:szCs w:val="18"/>
              </w:rPr>
            </w:pPr>
          </w:p>
          <w:p w:rsidR="000B3103" w:rsidRDefault="000B3103" w:rsidP="009814D6">
            <w:pPr>
              <w:autoSpaceDE w:val="0"/>
              <w:autoSpaceDN w:val="0"/>
              <w:ind w:right="1"/>
              <w:jc w:val="center"/>
              <w:rPr>
                <w:rFonts w:ascii="Arial" w:hAnsi="Arial" w:cs="Arial"/>
                <w:sz w:val="18"/>
                <w:szCs w:val="18"/>
              </w:rPr>
            </w:pPr>
          </w:p>
          <w:p w:rsidR="003541A1" w:rsidRPr="003541A1" w:rsidRDefault="000B3103" w:rsidP="009814D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9814D6">
            <w:pPr>
              <w:autoSpaceDE w:val="0"/>
              <w:autoSpaceDN w:val="0"/>
              <w:rPr>
                <w:rFonts w:ascii="Arial" w:hAnsi="Arial" w:cs="Arial"/>
                <w:b/>
                <w:bCs/>
                <w:sz w:val="18"/>
                <w:szCs w:val="18"/>
              </w:rPr>
            </w:pPr>
            <w:r>
              <w:rPr>
                <w:rFonts w:ascii="Arial" w:hAnsi="Arial" w:cs="Arial"/>
                <w:b/>
                <w:bCs/>
                <w:sz w:val="18"/>
                <w:szCs w:val="18"/>
              </w:rPr>
              <w:t>Untergrunduntersuchung</w:t>
            </w:r>
          </w:p>
          <w:p w:rsidR="009E3CD4" w:rsidRDefault="00AE17AE" w:rsidP="009814D6">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2E0C46" w:rsidRDefault="002E0C46" w:rsidP="009814D6">
            <w:pPr>
              <w:autoSpaceDE w:val="0"/>
              <w:autoSpaceDN w:val="0"/>
              <w:rPr>
                <w:rFonts w:ascii="Arial" w:hAnsi="Arial" w:cs="Arial"/>
                <w:bCs/>
                <w:sz w:val="18"/>
                <w:szCs w:val="18"/>
              </w:rPr>
            </w:pPr>
          </w:p>
          <w:p w:rsidR="00AE17AE" w:rsidRDefault="00AE17AE" w:rsidP="009814D6">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9814D6">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9814D6">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9814D6">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9E3CD4" w:rsidRDefault="000E01F5" w:rsidP="009814D6">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2E0C46" w:rsidRPr="002E0C46" w:rsidRDefault="002E0C46" w:rsidP="009814D6">
            <w:pPr>
              <w:pStyle w:val="Listenabsatz"/>
              <w:autoSpaceDE w:val="0"/>
              <w:autoSpaceDN w:val="0"/>
              <w:rPr>
                <w:rFonts w:ascii="Arial" w:hAnsi="Arial" w:cs="Arial"/>
                <w:bCs/>
                <w:sz w:val="18"/>
                <w:szCs w:val="18"/>
              </w:rPr>
            </w:pPr>
          </w:p>
          <w:p w:rsidR="001E2FA6" w:rsidRPr="000B3103" w:rsidRDefault="000B3103" w:rsidP="009814D6">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9814D6">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9814D6">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9814D6">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9814D6">
            <w:pPr>
              <w:autoSpaceDE w:val="0"/>
              <w:autoSpaceDN w:val="0"/>
              <w:ind w:right="1"/>
              <w:jc w:val="center"/>
              <w:rPr>
                <w:rFonts w:ascii="Arial" w:hAnsi="Arial" w:cs="Arial"/>
                <w:b/>
                <w:sz w:val="18"/>
                <w:szCs w:val="18"/>
              </w:rPr>
            </w:pPr>
          </w:p>
          <w:p w:rsidR="000B3103" w:rsidRDefault="000B3103" w:rsidP="009814D6">
            <w:pPr>
              <w:autoSpaceDE w:val="0"/>
              <w:autoSpaceDN w:val="0"/>
              <w:ind w:right="1"/>
              <w:jc w:val="center"/>
              <w:rPr>
                <w:rFonts w:ascii="Arial" w:hAnsi="Arial" w:cs="Arial"/>
                <w:b/>
                <w:sz w:val="18"/>
                <w:szCs w:val="18"/>
              </w:rPr>
            </w:pPr>
          </w:p>
          <w:p w:rsidR="009814D6" w:rsidRDefault="009814D6" w:rsidP="009814D6">
            <w:pPr>
              <w:autoSpaceDE w:val="0"/>
              <w:autoSpaceDN w:val="0"/>
              <w:ind w:right="1"/>
              <w:jc w:val="center"/>
              <w:rPr>
                <w:rFonts w:ascii="Arial" w:hAnsi="Arial" w:cs="Arial"/>
                <w:b/>
                <w:sz w:val="18"/>
                <w:szCs w:val="18"/>
              </w:rPr>
            </w:pPr>
          </w:p>
          <w:p w:rsidR="000B3103" w:rsidRPr="000B3103" w:rsidRDefault="000B3103" w:rsidP="009814D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9814D6">
            <w:pPr>
              <w:autoSpaceDE w:val="0"/>
              <w:autoSpaceDN w:val="0"/>
              <w:rPr>
                <w:rFonts w:ascii="Arial" w:hAnsi="Arial" w:cs="Arial"/>
                <w:b/>
                <w:bCs/>
                <w:sz w:val="18"/>
                <w:szCs w:val="18"/>
              </w:rPr>
            </w:pPr>
            <w:r>
              <w:rPr>
                <w:rFonts w:ascii="Arial" w:hAnsi="Arial" w:cs="Arial"/>
                <w:b/>
                <w:bCs/>
                <w:sz w:val="18"/>
                <w:szCs w:val="18"/>
              </w:rPr>
              <w:t>Vorbehandlung Schleifen</w:t>
            </w:r>
          </w:p>
          <w:p w:rsidR="00637164" w:rsidRPr="000B3103" w:rsidRDefault="000B3103" w:rsidP="009814D6">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9814D6">
            <w:pPr>
              <w:autoSpaceDE w:val="0"/>
              <w:autoSpaceDN w:val="0"/>
              <w:rPr>
                <w:rFonts w:ascii="Arial" w:hAnsi="Arial" w:cs="Arial"/>
                <w:sz w:val="18"/>
                <w:szCs w:val="18"/>
              </w:rPr>
            </w:pPr>
          </w:p>
        </w:tc>
      </w:tr>
      <w:tr w:rsidR="002E0C46" w:rsidTr="00E647F3">
        <w:tc>
          <w:tcPr>
            <w:tcW w:w="817" w:type="dxa"/>
            <w:tcBorders>
              <w:top w:val="single" w:sz="4" w:space="0" w:color="000000" w:themeColor="text1"/>
              <w:bottom w:val="single" w:sz="4" w:space="0" w:color="000000" w:themeColor="text1"/>
            </w:tcBorders>
          </w:tcPr>
          <w:p w:rsidR="002E0C46" w:rsidRDefault="002E0C46" w:rsidP="009814D6">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E0C46" w:rsidRDefault="002E0C46" w:rsidP="009814D6">
            <w:pPr>
              <w:autoSpaceDE w:val="0"/>
              <w:autoSpaceDN w:val="0"/>
              <w:ind w:right="1"/>
              <w:jc w:val="center"/>
              <w:rPr>
                <w:rFonts w:ascii="Arial" w:hAnsi="Arial" w:cs="Arial"/>
                <w:b/>
                <w:sz w:val="18"/>
                <w:szCs w:val="18"/>
              </w:rPr>
            </w:pPr>
            <w:r>
              <w:rPr>
                <w:rFonts w:ascii="Arial" w:hAnsi="Arial" w:cs="Arial"/>
                <w:b/>
                <w:sz w:val="18"/>
                <w:szCs w:val="18"/>
              </w:rPr>
              <w:t>*Bedarf*</w:t>
            </w:r>
          </w:p>
          <w:p w:rsidR="009814D6" w:rsidRDefault="009814D6" w:rsidP="009814D6">
            <w:pPr>
              <w:autoSpaceDE w:val="0"/>
              <w:autoSpaceDN w:val="0"/>
              <w:ind w:right="1"/>
              <w:jc w:val="center"/>
              <w:rPr>
                <w:rFonts w:ascii="Arial" w:hAnsi="Arial" w:cs="Arial"/>
                <w:b/>
                <w:sz w:val="18"/>
                <w:szCs w:val="18"/>
              </w:rPr>
            </w:pPr>
          </w:p>
          <w:p w:rsidR="009814D6" w:rsidRPr="009814D6" w:rsidRDefault="009814D6" w:rsidP="009814D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E0C46" w:rsidRDefault="002E0C46" w:rsidP="009814D6">
            <w:pPr>
              <w:autoSpaceDE w:val="0"/>
              <w:autoSpaceDN w:val="0"/>
              <w:rPr>
                <w:rFonts w:ascii="Arial" w:hAnsi="Arial" w:cs="Arial"/>
                <w:b/>
                <w:bCs/>
                <w:sz w:val="18"/>
                <w:szCs w:val="18"/>
              </w:rPr>
            </w:pPr>
            <w:r>
              <w:rPr>
                <w:rFonts w:ascii="Arial" w:hAnsi="Arial" w:cs="Arial"/>
                <w:b/>
                <w:bCs/>
                <w:sz w:val="18"/>
                <w:szCs w:val="18"/>
              </w:rPr>
              <w:t>Vorbehandlung Kugelstrahlen</w:t>
            </w:r>
          </w:p>
          <w:p w:rsidR="002E0C46" w:rsidRDefault="002E0C46" w:rsidP="009814D6">
            <w:pPr>
              <w:autoSpaceDE w:val="0"/>
              <w:autoSpaceDN w:val="0"/>
              <w:rPr>
                <w:rFonts w:ascii="Arial" w:hAnsi="Arial" w:cs="Arial"/>
                <w:bCs/>
                <w:sz w:val="18"/>
                <w:szCs w:val="18"/>
              </w:rPr>
            </w:pPr>
            <w:r>
              <w:rPr>
                <w:rFonts w:ascii="Arial" w:hAnsi="Arial" w:cs="Arial"/>
                <w:bCs/>
                <w:sz w:val="18"/>
                <w:szCs w:val="18"/>
              </w:rPr>
              <w:t>Untergrundvorbehandlung auf vorhandenen B</w:t>
            </w:r>
            <w:r w:rsidR="009814D6">
              <w:rPr>
                <w:rFonts w:ascii="Arial" w:hAnsi="Arial" w:cs="Arial"/>
                <w:bCs/>
                <w:sz w:val="18"/>
                <w:szCs w:val="18"/>
              </w:rPr>
              <w:t>odenflächen durch Kugelstrahlen</w:t>
            </w:r>
          </w:p>
          <w:p w:rsidR="009814D6" w:rsidRDefault="009814D6" w:rsidP="009814D6">
            <w:pPr>
              <w:autoSpaceDE w:val="0"/>
              <w:autoSpaceDN w:val="0"/>
              <w:rPr>
                <w:rFonts w:ascii="Arial" w:hAnsi="Arial" w:cs="Arial"/>
                <w:bCs/>
                <w:sz w:val="18"/>
                <w:szCs w:val="18"/>
              </w:rPr>
            </w:pPr>
          </w:p>
          <w:p w:rsidR="009814D6" w:rsidRPr="002E0C46" w:rsidRDefault="009814D6" w:rsidP="009814D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E0C46" w:rsidRDefault="002E0C46"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E0C46" w:rsidRDefault="002E0C46" w:rsidP="009814D6">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9814D6">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9814D6">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9814D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9814D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9814D6">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9814D6">
            <w:pPr>
              <w:keepNext/>
              <w:autoSpaceDE w:val="0"/>
              <w:autoSpaceDN w:val="0"/>
              <w:jc w:val="center"/>
              <w:rPr>
                <w:rFonts w:ascii="Arial" w:hAnsi="Arial" w:cs="Arial"/>
                <w:b/>
                <w:bCs/>
                <w:sz w:val="18"/>
                <w:szCs w:val="18"/>
              </w:rPr>
            </w:pPr>
            <w:r>
              <w:rPr>
                <w:rFonts w:ascii="Arial" w:hAnsi="Arial" w:cs="Arial"/>
                <w:b/>
                <w:bCs/>
                <w:sz w:val="18"/>
                <w:szCs w:val="18"/>
              </w:rPr>
              <w:t>1.1.</w:t>
            </w:r>
            <w:r w:rsidR="00637164">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0B3103" w:rsidRDefault="000B3103" w:rsidP="009814D6">
            <w:pPr>
              <w:autoSpaceDE w:val="0"/>
              <w:autoSpaceDN w:val="0"/>
              <w:ind w:right="1"/>
              <w:jc w:val="center"/>
              <w:rPr>
                <w:rFonts w:ascii="Arial" w:hAnsi="Arial" w:cs="Arial"/>
                <w:b/>
                <w:sz w:val="18"/>
                <w:szCs w:val="18"/>
              </w:rPr>
            </w:pPr>
          </w:p>
          <w:p w:rsidR="009814D6" w:rsidRDefault="009814D6" w:rsidP="009814D6">
            <w:pPr>
              <w:autoSpaceDE w:val="0"/>
              <w:autoSpaceDN w:val="0"/>
              <w:ind w:right="1"/>
              <w:jc w:val="center"/>
              <w:rPr>
                <w:rFonts w:ascii="Arial" w:hAnsi="Arial" w:cs="Arial"/>
                <w:b/>
                <w:sz w:val="18"/>
                <w:szCs w:val="18"/>
              </w:rPr>
            </w:pPr>
          </w:p>
          <w:p w:rsidR="009814D6" w:rsidRDefault="009814D6" w:rsidP="009814D6">
            <w:pPr>
              <w:autoSpaceDE w:val="0"/>
              <w:autoSpaceDN w:val="0"/>
              <w:ind w:right="1"/>
              <w:jc w:val="center"/>
              <w:rPr>
                <w:rFonts w:ascii="Arial" w:hAnsi="Arial" w:cs="Arial"/>
                <w:b/>
                <w:sz w:val="18"/>
                <w:szCs w:val="18"/>
              </w:rPr>
            </w:pPr>
          </w:p>
          <w:p w:rsidR="009814D6" w:rsidRDefault="009814D6" w:rsidP="009814D6">
            <w:pPr>
              <w:autoSpaceDE w:val="0"/>
              <w:autoSpaceDN w:val="0"/>
              <w:ind w:right="1"/>
              <w:jc w:val="center"/>
              <w:rPr>
                <w:rFonts w:ascii="Arial" w:hAnsi="Arial" w:cs="Arial"/>
                <w:b/>
                <w:sz w:val="18"/>
                <w:szCs w:val="18"/>
              </w:rPr>
            </w:pPr>
          </w:p>
          <w:p w:rsidR="009814D6" w:rsidRDefault="009814D6" w:rsidP="009814D6">
            <w:pPr>
              <w:autoSpaceDE w:val="0"/>
              <w:autoSpaceDN w:val="0"/>
              <w:ind w:right="1"/>
              <w:jc w:val="center"/>
              <w:rPr>
                <w:rFonts w:ascii="Arial" w:hAnsi="Arial" w:cs="Arial"/>
                <w:b/>
                <w:sz w:val="18"/>
                <w:szCs w:val="18"/>
              </w:rPr>
            </w:pPr>
          </w:p>
          <w:p w:rsidR="009814D6" w:rsidRPr="009814D6" w:rsidRDefault="009814D6" w:rsidP="009814D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9814D6">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w:t>
            </w:r>
            <w:r w:rsidR="002E0C46">
              <w:rPr>
                <w:rFonts w:ascii="Arial" w:hAnsi="Arial" w:cs="Arial"/>
                <w:b/>
                <w:bCs/>
                <w:sz w:val="18"/>
                <w:szCs w:val="18"/>
              </w:rPr>
              <w:t>Säubern</w:t>
            </w:r>
          </w:p>
          <w:p w:rsidR="00740EB9" w:rsidRDefault="000B3103" w:rsidP="009814D6">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9814D6">
              <w:rPr>
                <w:rFonts w:ascii="Arial" w:hAnsi="Arial" w:cs="Arial"/>
                <w:bCs/>
                <w:sz w:val="18"/>
                <w:szCs w:val="18"/>
              </w:rPr>
              <w:t xml:space="preserve"> zur Beschichtung geeignet sein</w:t>
            </w:r>
          </w:p>
          <w:p w:rsidR="0092060F" w:rsidRPr="000B3103" w:rsidRDefault="0092060F" w:rsidP="009814D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9814D6">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9814D6">
            <w:pPr>
              <w:keepNext/>
              <w:autoSpaceDE w:val="0"/>
              <w:autoSpaceDN w:val="0"/>
              <w:jc w:val="center"/>
              <w:rPr>
                <w:rFonts w:ascii="Arial" w:hAnsi="Arial" w:cs="Arial"/>
                <w:b/>
                <w:bCs/>
                <w:sz w:val="18"/>
                <w:szCs w:val="18"/>
              </w:rPr>
            </w:pPr>
            <w:r>
              <w:rPr>
                <w:rFonts w:ascii="Arial" w:hAnsi="Arial" w:cs="Arial"/>
                <w:b/>
                <w:bCs/>
                <w:sz w:val="18"/>
                <w:szCs w:val="18"/>
              </w:rPr>
              <w:t>1.1.</w:t>
            </w:r>
            <w:r w:rsidR="00637164">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D29E3" w:rsidRDefault="006D6C35" w:rsidP="009814D6">
            <w:pPr>
              <w:autoSpaceDE w:val="0"/>
              <w:autoSpaceDN w:val="0"/>
              <w:ind w:right="1"/>
              <w:jc w:val="center"/>
              <w:rPr>
                <w:rFonts w:ascii="Arial" w:hAnsi="Arial" w:cs="Arial"/>
                <w:b/>
                <w:sz w:val="18"/>
                <w:szCs w:val="18"/>
              </w:rPr>
            </w:pPr>
            <w:r>
              <w:rPr>
                <w:rFonts w:ascii="Arial" w:hAnsi="Arial" w:cs="Arial"/>
                <w:b/>
                <w:sz w:val="18"/>
                <w:szCs w:val="18"/>
              </w:rPr>
              <w:t>*Alternativ*</w:t>
            </w:r>
          </w:p>
          <w:p w:rsidR="00DD33AE" w:rsidRDefault="00DD33AE" w:rsidP="009814D6">
            <w:pPr>
              <w:autoSpaceDE w:val="0"/>
              <w:autoSpaceDN w:val="0"/>
              <w:ind w:right="1"/>
              <w:jc w:val="center"/>
              <w:rPr>
                <w:rFonts w:ascii="Arial" w:hAnsi="Arial" w:cs="Arial"/>
                <w:b/>
                <w:sz w:val="18"/>
                <w:szCs w:val="18"/>
              </w:rPr>
            </w:pPr>
          </w:p>
          <w:p w:rsidR="00DD33AE" w:rsidRDefault="00DD33AE" w:rsidP="009814D6">
            <w:pPr>
              <w:autoSpaceDE w:val="0"/>
              <w:autoSpaceDN w:val="0"/>
              <w:ind w:right="1"/>
              <w:jc w:val="center"/>
              <w:rPr>
                <w:rFonts w:ascii="Arial" w:hAnsi="Arial" w:cs="Arial"/>
                <w:b/>
                <w:sz w:val="18"/>
                <w:szCs w:val="18"/>
              </w:rPr>
            </w:pPr>
          </w:p>
          <w:p w:rsidR="00DD33AE" w:rsidRDefault="00DD33AE" w:rsidP="009814D6">
            <w:pPr>
              <w:autoSpaceDE w:val="0"/>
              <w:autoSpaceDN w:val="0"/>
              <w:ind w:right="1"/>
              <w:jc w:val="center"/>
              <w:rPr>
                <w:rFonts w:ascii="Arial" w:hAnsi="Arial" w:cs="Arial"/>
                <w:b/>
                <w:sz w:val="18"/>
                <w:szCs w:val="18"/>
              </w:rPr>
            </w:pPr>
          </w:p>
          <w:p w:rsidR="006D6C35" w:rsidRDefault="006D6C35" w:rsidP="009814D6">
            <w:pPr>
              <w:autoSpaceDE w:val="0"/>
              <w:autoSpaceDN w:val="0"/>
              <w:ind w:right="1"/>
              <w:jc w:val="center"/>
              <w:rPr>
                <w:rFonts w:ascii="Arial" w:hAnsi="Arial" w:cs="Arial"/>
                <w:b/>
                <w:sz w:val="18"/>
                <w:szCs w:val="18"/>
              </w:rPr>
            </w:pPr>
          </w:p>
          <w:p w:rsidR="006D6C35" w:rsidRDefault="006D6C35" w:rsidP="009814D6">
            <w:pPr>
              <w:autoSpaceDE w:val="0"/>
              <w:autoSpaceDN w:val="0"/>
              <w:ind w:right="1"/>
              <w:jc w:val="center"/>
              <w:rPr>
                <w:rFonts w:ascii="Arial" w:hAnsi="Arial" w:cs="Arial"/>
                <w:b/>
                <w:sz w:val="18"/>
                <w:szCs w:val="18"/>
              </w:rPr>
            </w:pPr>
          </w:p>
          <w:p w:rsidR="006D6C35" w:rsidRDefault="006D6C35" w:rsidP="009814D6">
            <w:pPr>
              <w:autoSpaceDE w:val="0"/>
              <w:autoSpaceDN w:val="0"/>
              <w:ind w:right="1"/>
              <w:jc w:val="center"/>
              <w:rPr>
                <w:rFonts w:ascii="Arial" w:hAnsi="Arial" w:cs="Arial"/>
                <w:b/>
                <w:sz w:val="18"/>
                <w:szCs w:val="18"/>
              </w:rPr>
            </w:pPr>
          </w:p>
          <w:p w:rsidR="00DD33AE" w:rsidRDefault="00DD33AE" w:rsidP="009814D6">
            <w:pPr>
              <w:autoSpaceDE w:val="0"/>
              <w:autoSpaceDN w:val="0"/>
              <w:ind w:right="1"/>
              <w:jc w:val="center"/>
              <w:rPr>
                <w:rFonts w:ascii="Arial" w:hAnsi="Arial" w:cs="Arial"/>
                <w:b/>
                <w:sz w:val="18"/>
                <w:szCs w:val="18"/>
              </w:rPr>
            </w:pPr>
          </w:p>
          <w:p w:rsidR="00DD33AE" w:rsidRDefault="00DD33AE" w:rsidP="009814D6">
            <w:pPr>
              <w:autoSpaceDE w:val="0"/>
              <w:autoSpaceDN w:val="0"/>
              <w:ind w:right="1"/>
              <w:rPr>
                <w:rFonts w:ascii="Arial" w:hAnsi="Arial" w:cs="Arial"/>
                <w:b/>
                <w:sz w:val="18"/>
                <w:szCs w:val="18"/>
              </w:rPr>
            </w:pPr>
          </w:p>
          <w:p w:rsidR="00DD33AE" w:rsidRDefault="00DD33AE" w:rsidP="009814D6">
            <w:pPr>
              <w:autoSpaceDE w:val="0"/>
              <w:autoSpaceDN w:val="0"/>
              <w:ind w:right="1"/>
              <w:jc w:val="center"/>
              <w:rPr>
                <w:rFonts w:ascii="Arial" w:hAnsi="Arial" w:cs="Arial"/>
                <w:b/>
                <w:sz w:val="18"/>
                <w:szCs w:val="18"/>
              </w:rPr>
            </w:pPr>
          </w:p>
          <w:p w:rsidR="00DD33AE" w:rsidRPr="00DD33AE" w:rsidRDefault="00DD33AE" w:rsidP="009814D6">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DD29E3" w:rsidRDefault="00637164" w:rsidP="009814D6">
            <w:pPr>
              <w:autoSpaceDE w:val="0"/>
              <w:autoSpaceDN w:val="0"/>
              <w:rPr>
                <w:rFonts w:ascii="Arial" w:hAnsi="Arial" w:cs="Arial"/>
                <w:b/>
                <w:bCs/>
                <w:sz w:val="18"/>
                <w:szCs w:val="18"/>
              </w:rPr>
            </w:pPr>
            <w:proofErr w:type="spellStart"/>
            <w:r>
              <w:rPr>
                <w:rFonts w:ascii="Arial" w:hAnsi="Arial" w:cs="Arial"/>
                <w:b/>
                <w:bCs/>
                <w:sz w:val="18"/>
                <w:szCs w:val="18"/>
              </w:rPr>
              <w:t>Reprofilierung</w:t>
            </w:r>
            <w:proofErr w:type="spellEnd"/>
          </w:p>
          <w:p w:rsidR="009E3CD4" w:rsidRDefault="00637164" w:rsidP="009814D6">
            <w:pPr>
              <w:autoSpaceDE w:val="0"/>
              <w:autoSpaceDN w:val="0"/>
              <w:rPr>
                <w:rFonts w:ascii="Arial" w:hAnsi="Arial" w:cs="Arial"/>
                <w:sz w:val="18"/>
                <w:szCs w:val="18"/>
              </w:rPr>
            </w:pPr>
            <w:proofErr w:type="spellStart"/>
            <w:r>
              <w:rPr>
                <w:rFonts w:ascii="Arial" w:hAnsi="Arial" w:cs="Arial"/>
                <w:bCs/>
                <w:sz w:val="18"/>
                <w:szCs w:val="18"/>
              </w:rPr>
              <w:t>Reprofilierung</w:t>
            </w:r>
            <w:proofErr w:type="spellEnd"/>
            <w:r>
              <w:rPr>
                <w:rFonts w:ascii="Arial" w:hAnsi="Arial" w:cs="Arial"/>
                <w:bCs/>
                <w:sz w:val="18"/>
                <w:szCs w:val="18"/>
              </w:rPr>
              <w:t xml:space="preserve"> von Ausbruchstellen sowie Auffüllen oder Ausgleichen von Flächen &gt; 5 mm durch Kunstharzmörtel/ Kunstharzestrich. Die zu behandelnde Fläche wird mit  </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sidR="001D0009">
              <w:rPr>
                <w:rFonts w:ascii="Arial" w:hAnsi="Arial" w:cs="Arial"/>
                <w:sz w:val="18"/>
                <w:szCs w:val="18"/>
              </w:rPr>
              <w:t>EPUni</w:t>
            </w:r>
            <w:proofErr w:type="spellEnd"/>
            <w:r w:rsidR="001D0009">
              <w:rPr>
                <w:rFonts w:ascii="Arial" w:hAnsi="Arial" w:cs="Arial"/>
                <w:sz w:val="18"/>
                <w:szCs w:val="18"/>
              </w:rPr>
              <w:t xml:space="preserve"> 12E grundiert. I</w:t>
            </w:r>
            <w:r>
              <w:rPr>
                <w:rFonts w:ascii="Arial" w:hAnsi="Arial" w:cs="Arial"/>
                <w:sz w:val="18"/>
                <w:szCs w:val="18"/>
              </w:rPr>
              <w:t>n die frische Grundierschicht wird dan</w:t>
            </w:r>
            <w:r w:rsidR="009814D6">
              <w:rPr>
                <w:rFonts w:ascii="Arial" w:hAnsi="Arial" w:cs="Arial"/>
                <w:sz w:val="18"/>
                <w:szCs w:val="18"/>
              </w:rPr>
              <w:t>n das EP-Material eingearbeitet</w:t>
            </w:r>
          </w:p>
          <w:p w:rsidR="00637164" w:rsidRDefault="00637164" w:rsidP="009814D6">
            <w:pPr>
              <w:autoSpaceDE w:val="0"/>
              <w:autoSpaceDN w:val="0"/>
              <w:rPr>
                <w:rFonts w:ascii="Arial" w:hAnsi="Arial" w:cs="Arial"/>
                <w:sz w:val="18"/>
                <w:szCs w:val="18"/>
              </w:rPr>
            </w:pPr>
          </w:p>
          <w:p w:rsidR="00637164" w:rsidRDefault="00637164" w:rsidP="009814D6">
            <w:pPr>
              <w:autoSpaceDE w:val="0"/>
              <w:autoSpaceDN w:val="0"/>
              <w:rPr>
                <w:rFonts w:ascii="Arial" w:hAnsi="Arial" w:cs="Arial"/>
                <w:sz w:val="18"/>
                <w:szCs w:val="18"/>
                <w:u w:val="single"/>
              </w:rPr>
            </w:pPr>
            <w:r w:rsidRPr="00637164">
              <w:rPr>
                <w:rFonts w:ascii="Arial" w:hAnsi="Arial" w:cs="Arial"/>
                <w:sz w:val="18"/>
                <w:szCs w:val="18"/>
                <w:u w:val="single"/>
              </w:rPr>
              <w:t>Empfohlene Anwendung</w:t>
            </w:r>
          </w:p>
          <w:p w:rsidR="00637164" w:rsidRDefault="00637164" w:rsidP="009814D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FGM012 57M</w:t>
            </w:r>
          </w:p>
          <w:p w:rsidR="00637164" w:rsidRDefault="00637164" w:rsidP="009814D6">
            <w:pPr>
              <w:autoSpaceDE w:val="0"/>
              <w:autoSpaceDN w:val="0"/>
              <w:rPr>
                <w:rFonts w:ascii="Arial" w:hAnsi="Arial" w:cs="Arial"/>
                <w:sz w:val="18"/>
                <w:szCs w:val="18"/>
              </w:rPr>
            </w:pPr>
            <w:r>
              <w:rPr>
                <w:rFonts w:ascii="Arial" w:hAnsi="Arial" w:cs="Arial"/>
                <w:sz w:val="18"/>
                <w:szCs w:val="18"/>
              </w:rPr>
              <w:t xml:space="preserve">im MV 1.13 </w:t>
            </w:r>
            <w:proofErr w:type="spellStart"/>
            <w:r>
              <w:rPr>
                <w:rFonts w:ascii="Arial" w:hAnsi="Arial" w:cs="Arial"/>
                <w:sz w:val="18"/>
                <w:szCs w:val="18"/>
              </w:rPr>
              <w:t>Gew.T</w:t>
            </w:r>
            <w:proofErr w:type="spellEnd"/>
            <w:r>
              <w:rPr>
                <w:rFonts w:ascii="Arial" w:hAnsi="Arial" w:cs="Arial"/>
                <w:sz w:val="18"/>
                <w:szCs w:val="18"/>
              </w:rPr>
              <w:t>. ergibt flüssigkeitsdichten Estrich</w:t>
            </w:r>
          </w:p>
          <w:p w:rsidR="00637164" w:rsidRDefault="00637164" w:rsidP="009814D6">
            <w:pPr>
              <w:autoSpaceDE w:val="0"/>
              <w:autoSpaceDN w:val="0"/>
              <w:rPr>
                <w:rFonts w:ascii="Arial" w:hAnsi="Arial" w:cs="Arial"/>
                <w:sz w:val="18"/>
                <w:szCs w:val="18"/>
              </w:rPr>
            </w:pPr>
          </w:p>
          <w:p w:rsidR="00637164" w:rsidRPr="00637164" w:rsidRDefault="00637164" w:rsidP="009814D6">
            <w:pPr>
              <w:autoSpaceDE w:val="0"/>
              <w:autoSpaceDN w:val="0"/>
              <w:rPr>
                <w:rFonts w:ascii="Arial" w:hAnsi="Arial" w:cs="Arial"/>
                <w:b/>
                <w:sz w:val="18"/>
                <w:szCs w:val="18"/>
              </w:rPr>
            </w:pPr>
            <w:r w:rsidRPr="00637164">
              <w:rPr>
                <w:rFonts w:ascii="Arial" w:hAnsi="Arial" w:cs="Arial"/>
                <w:b/>
                <w:sz w:val="18"/>
                <w:szCs w:val="18"/>
              </w:rPr>
              <w:t>Verbrauch:</w:t>
            </w:r>
          </w:p>
          <w:p w:rsidR="00637164" w:rsidRDefault="00637164" w:rsidP="009814D6">
            <w:pPr>
              <w:autoSpaceDE w:val="0"/>
              <w:autoSpaceDN w:val="0"/>
              <w:rPr>
                <w:rFonts w:ascii="Arial" w:hAnsi="Arial" w:cs="Arial"/>
                <w:sz w:val="18"/>
                <w:szCs w:val="18"/>
              </w:rPr>
            </w:pPr>
            <w:r>
              <w:rPr>
                <w:rFonts w:ascii="Arial" w:hAnsi="Arial" w:cs="Arial"/>
                <w:sz w:val="18"/>
                <w:szCs w:val="18"/>
              </w:rPr>
              <w:t>je nach Anwendung</w:t>
            </w:r>
          </w:p>
          <w:p w:rsidR="00850FFA" w:rsidRPr="00637164" w:rsidRDefault="00850FFA" w:rsidP="009814D6">
            <w:pPr>
              <w:autoSpaceDE w:val="0"/>
              <w:autoSpaceDN w:val="0"/>
              <w:rPr>
                <w:rFonts w:ascii="Arial" w:hAnsi="Arial" w:cs="Arial"/>
                <w:sz w:val="18"/>
                <w:szCs w:val="18"/>
                <w:u w:val="single"/>
              </w:rPr>
            </w:pPr>
          </w:p>
        </w:tc>
        <w:tc>
          <w:tcPr>
            <w:tcW w:w="1087" w:type="dxa"/>
            <w:tcBorders>
              <w:top w:val="single" w:sz="4" w:space="0" w:color="000000" w:themeColor="text1"/>
              <w:bottom w:val="single" w:sz="4" w:space="0" w:color="000000" w:themeColor="text1"/>
            </w:tcBorders>
          </w:tcPr>
          <w:p w:rsidR="00DD29E3" w:rsidRPr="0072027A" w:rsidRDefault="00DD29E3"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9814D6">
            <w:pPr>
              <w:autoSpaceDE w:val="0"/>
              <w:autoSpaceDN w:val="0"/>
              <w:rPr>
                <w:rFonts w:ascii="Arial" w:hAnsi="Arial" w:cs="Arial"/>
                <w:sz w:val="18"/>
                <w:szCs w:val="18"/>
              </w:rPr>
            </w:pPr>
          </w:p>
        </w:tc>
      </w:tr>
      <w:tr w:rsidR="000B4531" w:rsidRPr="000D054B" w:rsidTr="00E647F3">
        <w:tc>
          <w:tcPr>
            <w:tcW w:w="817" w:type="dxa"/>
            <w:tcBorders>
              <w:top w:val="single" w:sz="4" w:space="0" w:color="000000" w:themeColor="text1"/>
              <w:bottom w:val="single" w:sz="4" w:space="0" w:color="000000" w:themeColor="text1"/>
            </w:tcBorders>
          </w:tcPr>
          <w:p w:rsidR="000B4531" w:rsidRDefault="000B4531" w:rsidP="009814D6">
            <w:pPr>
              <w:keepNext/>
              <w:autoSpaceDE w:val="0"/>
              <w:autoSpaceDN w:val="0"/>
              <w:jc w:val="center"/>
              <w:rPr>
                <w:rFonts w:ascii="Arial" w:hAnsi="Arial" w:cs="Arial"/>
                <w:b/>
                <w:bCs/>
                <w:sz w:val="18"/>
                <w:szCs w:val="18"/>
              </w:rPr>
            </w:pPr>
            <w:r>
              <w:rPr>
                <w:rFonts w:ascii="Arial" w:hAnsi="Arial" w:cs="Arial"/>
                <w:b/>
                <w:bCs/>
                <w:sz w:val="18"/>
                <w:szCs w:val="18"/>
              </w:rPr>
              <w:t>1.1.</w:t>
            </w:r>
            <w:r w:rsidR="00850FFA">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92060F" w:rsidRDefault="0092060F" w:rsidP="009814D6">
            <w:pPr>
              <w:autoSpaceDE w:val="0"/>
              <w:autoSpaceDN w:val="0"/>
              <w:ind w:right="1"/>
              <w:jc w:val="center"/>
              <w:rPr>
                <w:rFonts w:ascii="Arial" w:hAnsi="Arial" w:cs="Arial"/>
                <w:sz w:val="18"/>
                <w:szCs w:val="18"/>
              </w:rPr>
            </w:pPr>
          </w:p>
          <w:p w:rsidR="0092060F" w:rsidRDefault="0092060F" w:rsidP="009814D6">
            <w:pPr>
              <w:autoSpaceDE w:val="0"/>
              <w:autoSpaceDN w:val="0"/>
              <w:ind w:right="1"/>
              <w:jc w:val="center"/>
              <w:rPr>
                <w:rFonts w:ascii="Arial" w:hAnsi="Arial" w:cs="Arial"/>
                <w:sz w:val="18"/>
                <w:szCs w:val="18"/>
              </w:rPr>
            </w:pPr>
          </w:p>
          <w:p w:rsidR="0092060F" w:rsidRDefault="0092060F"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9814D6" w:rsidRDefault="009814D6" w:rsidP="009814D6">
            <w:pPr>
              <w:autoSpaceDE w:val="0"/>
              <w:autoSpaceDN w:val="0"/>
              <w:ind w:right="1"/>
              <w:jc w:val="center"/>
              <w:rPr>
                <w:rFonts w:ascii="Arial" w:hAnsi="Arial" w:cs="Arial"/>
                <w:sz w:val="18"/>
                <w:szCs w:val="18"/>
              </w:rPr>
            </w:pPr>
          </w:p>
          <w:p w:rsidR="0092060F" w:rsidRDefault="0092060F" w:rsidP="009814D6">
            <w:pPr>
              <w:autoSpaceDE w:val="0"/>
              <w:autoSpaceDN w:val="0"/>
              <w:ind w:right="1"/>
              <w:jc w:val="center"/>
              <w:rPr>
                <w:rFonts w:ascii="Arial" w:hAnsi="Arial" w:cs="Arial"/>
                <w:sz w:val="18"/>
                <w:szCs w:val="18"/>
              </w:rPr>
            </w:pPr>
          </w:p>
          <w:p w:rsidR="00E264A5" w:rsidRDefault="00E264A5" w:rsidP="009814D6">
            <w:pPr>
              <w:autoSpaceDE w:val="0"/>
              <w:autoSpaceDN w:val="0"/>
              <w:ind w:right="1"/>
              <w:rPr>
                <w:rFonts w:ascii="Arial" w:hAnsi="Arial" w:cs="Arial"/>
                <w:sz w:val="18"/>
                <w:szCs w:val="18"/>
              </w:rPr>
            </w:pPr>
          </w:p>
          <w:p w:rsidR="000B4531" w:rsidRDefault="0092060F" w:rsidP="009814D6">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850FFA" w:rsidP="009814D6">
            <w:pPr>
              <w:autoSpaceDE w:val="0"/>
              <w:autoSpaceDN w:val="0"/>
              <w:rPr>
                <w:rFonts w:ascii="Arial" w:hAnsi="Arial" w:cs="Arial"/>
                <w:b/>
                <w:bCs/>
                <w:sz w:val="18"/>
                <w:szCs w:val="18"/>
              </w:rPr>
            </w:pPr>
            <w:r>
              <w:rPr>
                <w:rFonts w:ascii="Arial" w:hAnsi="Arial" w:cs="Arial"/>
                <w:b/>
                <w:bCs/>
                <w:sz w:val="18"/>
                <w:szCs w:val="18"/>
              </w:rPr>
              <w:t>Grundierung der Bodenflächen</w:t>
            </w:r>
          </w:p>
          <w:p w:rsidR="000B4531" w:rsidRDefault="002E0C46" w:rsidP="009814D6">
            <w:pPr>
              <w:widowControl w:val="0"/>
              <w:contextualSpacing/>
              <w:rPr>
                <w:rFonts w:ascii="Arial" w:hAnsi="Arial" w:cs="Arial"/>
                <w:sz w:val="18"/>
                <w:szCs w:val="18"/>
              </w:rPr>
            </w:pPr>
            <w:r>
              <w:rPr>
                <w:rFonts w:ascii="Arial" w:hAnsi="Arial" w:cs="Arial"/>
                <w:bCs/>
                <w:sz w:val="18"/>
                <w:szCs w:val="18"/>
              </w:rPr>
              <w:t xml:space="preserve">Bei saugfähigen, mineralischen Untergründen wird mit </w:t>
            </w:r>
          </w:p>
          <w:p w:rsidR="000B4531" w:rsidRDefault="002E0C46" w:rsidP="009814D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der Untergrund verfestigt. Bei bituminösen Untergründen (</w:t>
            </w:r>
            <w:proofErr w:type="spellStart"/>
            <w:r>
              <w:rPr>
                <w:rFonts w:ascii="Arial" w:hAnsi="Arial" w:cs="Arial"/>
                <w:sz w:val="18"/>
                <w:szCs w:val="18"/>
              </w:rPr>
              <w:t>Gußasphalt</w:t>
            </w:r>
            <w:proofErr w:type="spellEnd"/>
            <w:r>
              <w:rPr>
                <w:rFonts w:ascii="Arial" w:hAnsi="Arial" w:cs="Arial"/>
                <w:sz w:val="18"/>
                <w:szCs w:val="18"/>
              </w:rPr>
              <w:t>) kann die Grundierung e</w:t>
            </w:r>
            <w:r w:rsidR="001D0009">
              <w:rPr>
                <w:rFonts w:ascii="Arial" w:hAnsi="Arial" w:cs="Arial"/>
                <w:sz w:val="18"/>
                <w:szCs w:val="18"/>
              </w:rPr>
              <w:t>ntfallen. Die Hinweise aus dem t</w:t>
            </w:r>
            <w:r>
              <w:rPr>
                <w:rFonts w:ascii="Arial" w:hAnsi="Arial" w:cs="Arial"/>
                <w:sz w:val="18"/>
                <w:szCs w:val="18"/>
              </w:rPr>
              <w:t xml:space="preserve">echnischen </w:t>
            </w:r>
            <w:r w:rsidR="009814D6">
              <w:rPr>
                <w:rFonts w:ascii="Arial" w:hAnsi="Arial" w:cs="Arial"/>
                <w:sz w:val="18"/>
                <w:szCs w:val="18"/>
              </w:rPr>
              <w:t>Merkblatt sind zu beachten</w:t>
            </w:r>
          </w:p>
          <w:p w:rsidR="000B4531" w:rsidRDefault="000B4531" w:rsidP="009814D6">
            <w:pPr>
              <w:autoSpaceDE w:val="0"/>
              <w:autoSpaceDN w:val="0"/>
              <w:rPr>
                <w:rFonts w:ascii="Arial" w:hAnsi="Arial" w:cs="Arial"/>
                <w:b/>
                <w:sz w:val="18"/>
                <w:szCs w:val="18"/>
              </w:rPr>
            </w:pPr>
            <w:r>
              <w:rPr>
                <w:rFonts w:ascii="Arial" w:hAnsi="Arial" w:cs="Arial"/>
                <w:b/>
                <w:sz w:val="18"/>
                <w:szCs w:val="18"/>
              </w:rPr>
              <w:t>Verbrauch:</w:t>
            </w:r>
          </w:p>
          <w:p w:rsidR="00137E72" w:rsidRPr="002E0C46" w:rsidRDefault="002E0C46" w:rsidP="009814D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000B4531" w:rsidRPr="002E0C46">
              <w:rPr>
                <w:rFonts w:ascii="Arial" w:hAnsi="Arial" w:cs="Arial"/>
                <w:sz w:val="18"/>
                <w:szCs w:val="18"/>
              </w:rPr>
              <w:t xml:space="preserve">:   </w:t>
            </w:r>
            <w:r w:rsidR="00850FFA" w:rsidRPr="002E0C46">
              <w:rPr>
                <w:rFonts w:ascii="Arial" w:hAnsi="Arial" w:cs="Arial"/>
                <w:sz w:val="18"/>
                <w:szCs w:val="18"/>
              </w:rPr>
              <w:t>0,</w:t>
            </w:r>
            <w:r>
              <w:rPr>
                <w:rFonts w:ascii="Arial" w:hAnsi="Arial" w:cs="Arial"/>
                <w:sz w:val="18"/>
                <w:szCs w:val="18"/>
              </w:rPr>
              <w:t>2-0,4 kg</w:t>
            </w:r>
            <w:r w:rsidR="00850FFA" w:rsidRPr="002E0C46">
              <w:rPr>
                <w:rFonts w:ascii="Arial" w:hAnsi="Arial" w:cs="Arial"/>
                <w:sz w:val="18"/>
                <w:szCs w:val="18"/>
              </w:rPr>
              <w:t>/m²</w:t>
            </w:r>
          </w:p>
          <w:p w:rsidR="00850FFA" w:rsidRPr="002E0C46" w:rsidRDefault="00850FFA" w:rsidP="009814D6">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2E0C46" w:rsidRDefault="000B4531"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2E0C46" w:rsidRDefault="000B4531" w:rsidP="009814D6">
            <w:pPr>
              <w:autoSpaceDE w:val="0"/>
              <w:autoSpaceDN w:val="0"/>
              <w:rPr>
                <w:rFonts w:ascii="Arial" w:hAnsi="Arial" w:cs="Arial"/>
                <w:sz w:val="18"/>
                <w:szCs w:val="18"/>
              </w:rPr>
            </w:pP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9814D6">
            <w:pPr>
              <w:keepNext/>
              <w:autoSpaceDE w:val="0"/>
              <w:autoSpaceDN w:val="0"/>
              <w:jc w:val="center"/>
              <w:rPr>
                <w:rFonts w:ascii="Arial" w:hAnsi="Arial" w:cs="Arial"/>
                <w:b/>
                <w:bCs/>
                <w:sz w:val="18"/>
                <w:szCs w:val="18"/>
              </w:rPr>
            </w:pPr>
            <w:r>
              <w:rPr>
                <w:rFonts w:ascii="Arial" w:hAnsi="Arial" w:cs="Arial"/>
                <w:b/>
                <w:bCs/>
                <w:sz w:val="18"/>
                <w:szCs w:val="18"/>
              </w:rPr>
              <w:t>1.1.</w:t>
            </w:r>
            <w:r w:rsidR="00850FFA">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137E72" w:rsidRDefault="00137E72" w:rsidP="009814D6">
            <w:pPr>
              <w:autoSpaceDE w:val="0"/>
              <w:autoSpaceDN w:val="0"/>
              <w:ind w:right="1"/>
              <w:jc w:val="center"/>
              <w:rPr>
                <w:rFonts w:ascii="Arial" w:hAnsi="Arial" w:cs="Arial"/>
                <w:b/>
                <w:sz w:val="18"/>
                <w:szCs w:val="18"/>
              </w:rPr>
            </w:pPr>
          </w:p>
          <w:p w:rsidR="00137E72" w:rsidRDefault="00137E72" w:rsidP="009814D6">
            <w:pPr>
              <w:autoSpaceDE w:val="0"/>
              <w:autoSpaceDN w:val="0"/>
              <w:ind w:right="1"/>
              <w:rPr>
                <w:rFonts w:ascii="Arial" w:hAnsi="Arial" w:cs="Arial"/>
                <w:b/>
                <w:sz w:val="18"/>
                <w:szCs w:val="18"/>
              </w:rPr>
            </w:pPr>
          </w:p>
          <w:p w:rsidR="009814D6" w:rsidRDefault="009814D6" w:rsidP="009814D6">
            <w:pPr>
              <w:autoSpaceDE w:val="0"/>
              <w:autoSpaceDN w:val="0"/>
              <w:ind w:right="1"/>
              <w:rPr>
                <w:rFonts w:ascii="Arial" w:hAnsi="Arial" w:cs="Arial"/>
                <w:b/>
                <w:sz w:val="18"/>
                <w:szCs w:val="18"/>
              </w:rPr>
            </w:pPr>
          </w:p>
          <w:p w:rsidR="009814D6" w:rsidRDefault="009814D6" w:rsidP="009814D6">
            <w:pPr>
              <w:autoSpaceDE w:val="0"/>
              <w:autoSpaceDN w:val="0"/>
              <w:ind w:right="1"/>
              <w:rPr>
                <w:rFonts w:ascii="Arial" w:hAnsi="Arial" w:cs="Arial"/>
                <w:b/>
                <w:sz w:val="18"/>
                <w:szCs w:val="18"/>
              </w:rPr>
            </w:pPr>
          </w:p>
          <w:p w:rsidR="009814D6" w:rsidRDefault="009814D6" w:rsidP="009814D6">
            <w:pPr>
              <w:autoSpaceDE w:val="0"/>
              <w:autoSpaceDN w:val="0"/>
              <w:ind w:right="1"/>
              <w:rPr>
                <w:rFonts w:ascii="Arial" w:hAnsi="Arial" w:cs="Arial"/>
                <w:b/>
                <w:sz w:val="18"/>
                <w:szCs w:val="18"/>
              </w:rPr>
            </w:pPr>
          </w:p>
          <w:p w:rsidR="009814D6" w:rsidRDefault="009814D6" w:rsidP="009814D6">
            <w:pPr>
              <w:autoSpaceDE w:val="0"/>
              <w:autoSpaceDN w:val="0"/>
              <w:ind w:right="1"/>
              <w:rPr>
                <w:rFonts w:ascii="Arial" w:hAnsi="Arial" w:cs="Arial"/>
                <w:b/>
                <w:sz w:val="18"/>
                <w:szCs w:val="18"/>
              </w:rPr>
            </w:pPr>
          </w:p>
          <w:p w:rsidR="009814D6" w:rsidRDefault="009814D6" w:rsidP="009814D6">
            <w:pPr>
              <w:autoSpaceDE w:val="0"/>
              <w:autoSpaceDN w:val="0"/>
              <w:ind w:right="1"/>
              <w:rPr>
                <w:rFonts w:ascii="Arial" w:hAnsi="Arial" w:cs="Arial"/>
                <w:b/>
                <w:sz w:val="18"/>
                <w:szCs w:val="18"/>
              </w:rPr>
            </w:pPr>
          </w:p>
          <w:p w:rsidR="00137E72" w:rsidRDefault="00137E72" w:rsidP="009814D6">
            <w:pPr>
              <w:autoSpaceDE w:val="0"/>
              <w:autoSpaceDN w:val="0"/>
              <w:ind w:right="1"/>
              <w:jc w:val="center"/>
              <w:rPr>
                <w:rFonts w:ascii="Arial" w:hAnsi="Arial" w:cs="Arial"/>
                <w:b/>
                <w:sz w:val="18"/>
                <w:szCs w:val="18"/>
              </w:rPr>
            </w:pPr>
          </w:p>
          <w:p w:rsidR="00137E72" w:rsidRDefault="00137E72" w:rsidP="009814D6">
            <w:pPr>
              <w:autoSpaceDE w:val="0"/>
              <w:autoSpaceDN w:val="0"/>
              <w:ind w:right="1"/>
              <w:jc w:val="center"/>
              <w:rPr>
                <w:rFonts w:ascii="Arial" w:hAnsi="Arial" w:cs="Arial"/>
                <w:b/>
                <w:sz w:val="18"/>
                <w:szCs w:val="18"/>
              </w:rPr>
            </w:pPr>
          </w:p>
          <w:p w:rsidR="00137E72" w:rsidRDefault="00137E72" w:rsidP="009814D6">
            <w:pPr>
              <w:autoSpaceDE w:val="0"/>
              <w:autoSpaceDN w:val="0"/>
              <w:ind w:right="1"/>
              <w:jc w:val="center"/>
              <w:rPr>
                <w:rFonts w:ascii="Arial" w:hAnsi="Arial" w:cs="Arial"/>
                <w:b/>
                <w:sz w:val="18"/>
                <w:szCs w:val="18"/>
              </w:rPr>
            </w:pPr>
            <w:r w:rsidRPr="00DD33AE">
              <w:rPr>
                <w:rFonts w:ascii="Arial" w:hAnsi="Arial" w:cs="Arial"/>
                <w:sz w:val="18"/>
                <w:szCs w:val="18"/>
              </w:rPr>
              <w:t>m²</w:t>
            </w:r>
          </w:p>
          <w:p w:rsidR="00137E72" w:rsidRDefault="00137E72" w:rsidP="009814D6">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137E72" w:rsidRDefault="002E0C46" w:rsidP="009814D6">
            <w:pPr>
              <w:autoSpaceDE w:val="0"/>
              <w:autoSpaceDN w:val="0"/>
              <w:rPr>
                <w:rFonts w:ascii="Arial" w:hAnsi="Arial" w:cs="Arial"/>
                <w:b/>
                <w:bCs/>
                <w:sz w:val="18"/>
                <w:szCs w:val="18"/>
              </w:rPr>
            </w:pPr>
            <w:r>
              <w:rPr>
                <w:rFonts w:ascii="Arial" w:hAnsi="Arial" w:cs="Arial"/>
                <w:b/>
                <w:bCs/>
                <w:sz w:val="18"/>
                <w:szCs w:val="18"/>
              </w:rPr>
              <w:t>Beschichtung</w:t>
            </w:r>
          </w:p>
          <w:p w:rsidR="00850FFA" w:rsidRDefault="00850FFA" w:rsidP="009814D6">
            <w:pPr>
              <w:autoSpaceDE w:val="0"/>
              <w:autoSpaceDN w:val="0"/>
              <w:rPr>
                <w:rFonts w:ascii="Arial" w:hAnsi="Arial" w:cs="Arial"/>
                <w:sz w:val="18"/>
                <w:szCs w:val="18"/>
              </w:rPr>
            </w:pPr>
            <w:r>
              <w:rPr>
                <w:rFonts w:ascii="Arial" w:hAnsi="Arial" w:cs="Arial"/>
                <w:bCs/>
                <w:sz w:val="18"/>
                <w:szCs w:val="18"/>
              </w:rPr>
              <w:t xml:space="preserve">Beschichtung der zu behandelnden Flächen mit </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r w:rsidR="002E0C46">
              <w:rPr>
                <w:rFonts w:ascii="Arial" w:hAnsi="Arial" w:cs="Arial"/>
                <w:sz w:val="18"/>
                <w:szCs w:val="18"/>
              </w:rPr>
              <w:t>VS 12E</w:t>
            </w:r>
            <w:r>
              <w:rPr>
                <w:rFonts w:ascii="Arial" w:hAnsi="Arial" w:cs="Arial"/>
                <w:sz w:val="18"/>
                <w:szCs w:val="18"/>
              </w:rPr>
              <w:t xml:space="preserve"> mittels Rolle</w:t>
            </w:r>
            <w:r w:rsidR="002E0C46">
              <w:rPr>
                <w:rFonts w:ascii="Arial" w:hAnsi="Arial" w:cs="Arial"/>
                <w:sz w:val="18"/>
                <w:szCs w:val="18"/>
              </w:rPr>
              <w:t>, Glätt</w:t>
            </w:r>
            <w:r w:rsidR="001D0009">
              <w:rPr>
                <w:rFonts w:ascii="Arial" w:hAnsi="Arial" w:cs="Arial"/>
                <w:sz w:val="18"/>
                <w:szCs w:val="18"/>
              </w:rPr>
              <w:t>e</w:t>
            </w:r>
            <w:r w:rsidR="002E0C46">
              <w:rPr>
                <w:rFonts w:ascii="Arial" w:hAnsi="Arial" w:cs="Arial"/>
                <w:sz w:val="18"/>
                <w:szCs w:val="18"/>
              </w:rPr>
              <w:t>kelle oder Rakel</w:t>
            </w:r>
            <w:r>
              <w:rPr>
                <w:rFonts w:ascii="Arial" w:hAnsi="Arial" w:cs="Arial"/>
                <w:sz w:val="18"/>
                <w:szCs w:val="18"/>
              </w:rPr>
              <w:t>.</w:t>
            </w:r>
            <w:r w:rsidR="002E0C46">
              <w:rPr>
                <w:rFonts w:ascii="Arial" w:hAnsi="Arial" w:cs="Arial"/>
                <w:sz w:val="18"/>
                <w:szCs w:val="18"/>
              </w:rPr>
              <w:t xml:space="preserve"> Die Verarbeitung erfolgt bahnenweise</w:t>
            </w:r>
            <w:r w:rsidR="001D0009">
              <w:rPr>
                <w:rFonts w:ascii="Arial" w:hAnsi="Arial" w:cs="Arial"/>
                <w:sz w:val="18"/>
                <w:szCs w:val="18"/>
              </w:rPr>
              <w:t>,</w:t>
            </w:r>
            <w:r w:rsidR="002E0C46">
              <w:rPr>
                <w:rFonts w:ascii="Arial" w:hAnsi="Arial" w:cs="Arial"/>
                <w:sz w:val="18"/>
                <w:szCs w:val="18"/>
              </w:rPr>
              <w:t xml:space="preserve"> so dass auch große Flächen „frisch in frisch“ erstellt werden können. Nach </w:t>
            </w:r>
            <w:proofErr w:type="spellStart"/>
            <w:r w:rsidR="002E0C46">
              <w:rPr>
                <w:rFonts w:ascii="Arial" w:hAnsi="Arial" w:cs="Arial"/>
                <w:sz w:val="18"/>
                <w:szCs w:val="18"/>
              </w:rPr>
              <w:t>Durchhärtung</w:t>
            </w:r>
            <w:proofErr w:type="spellEnd"/>
            <w:r w:rsidR="002E0C46">
              <w:rPr>
                <w:rFonts w:ascii="Arial" w:hAnsi="Arial" w:cs="Arial"/>
                <w:sz w:val="18"/>
                <w:szCs w:val="18"/>
              </w:rPr>
              <w:t xml:space="preserve"> der ersten Schicht, w</w:t>
            </w:r>
            <w:r w:rsidR="009814D6">
              <w:rPr>
                <w:rFonts w:ascii="Arial" w:hAnsi="Arial" w:cs="Arial"/>
                <w:sz w:val="18"/>
                <w:szCs w:val="18"/>
              </w:rPr>
              <w:t>ird die zweite Lage aufgebracht</w:t>
            </w:r>
          </w:p>
          <w:p w:rsidR="00850FFA" w:rsidRDefault="00850FFA" w:rsidP="009814D6">
            <w:pPr>
              <w:autoSpaceDE w:val="0"/>
              <w:autoSpaceDN w:val="0"/>
              <w:rPr>
                <w:rFonts w:ascii="Arial" w:hAnsi="Arial" w:cs="Arial"/>
                <w:sz w:val="18"/>
                <w:szCs w:val="18"/>
              </w:rPr>
            </w:pPr>
          </w:p>
          <w:p w:rsidR="00850FFA" w:rsidRDefault="002E0C46" w:rsidP="009814D6">
            <w:pPr>
              <w:autoSpaceDE w:val="0"/>
              <w:autoSpaceDN w:val="0"/>
              <w:rPr>
                <w:rFonts w:ascii="Arial" w:hAnsi="Arial" w:cs="Arial"/>
                <w:b/>
                <w:sz w:val="18"/>
                <w:szCs w:val="18"/>
              </w:rPr>
            </w:pPr>
            <w:r>
              <w:rPr>
                <w:rFonts w:ascii="Arial" w:hAnsi="Arial" w:cs="Arial"/>
                <w:b/>
                <w:sz w:val="18"/>
                <w:szCs w:val="18"/>
              </w:rPr>
              <w:t>Mindestv</w:t>
            </w:r>
            <w:r w:rsidR="00850FFA">
              <w:rPr>
                <w:rFonts w:ascii="Arial" w:hAnsi="Arial" w:cs="Arial"/>
                <w:b/>
                <w:sz w:val="18"/>
                <w:szCs w:val="18"/>
              </w:rPr>
              <w:t>erbrauch:</w:t>
            </w:r>
          </w:p>
          <w:p w:rsidR="00850FFA" w:rsidRPr="00850FFA" w:rsidRDefault="00850FFA" w:rsidP="009814D6">
            <w:pPr>
              <w:autoSpaceDE w:val="0"/>
              <w:autoSpaceDN w:val="0"/>
              <w:rPr>
                <w:rFonts w:ascii="Arial" w:hAnsi="Arial" w:cs="Arial"/>
                <w:b/>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2E0C46">
              <w:rPr>
                <w:rFonts w:ascii="Arial" w:hAnsi="Arial" w:cs="Arial"/>
                <w:sz w:val="18"/>
                <w:szCs w:val="18"/>
              </w:rPr>
              <w:t>VS 12E</w:t>
            </w:r>
            <w:r>
              <w:rPr>
                <w:rFonts w:ascii="Arial" w:hAnsi="Arial" w:cs="Arial"/>
                <w:sz w:val="18"/>
                <w:szCs w:val="18"/>
              </w:rPr>
              <w:t>:   0,</w:t>
            </w:r>
            <w:r w:rsidR="001E2FA6">
              <w:rPr>
                <w:rFonts w:ascii="Arial" w:hAnsi="Arial" w:cs="Arial"/>
                <w:sz w:val="18"/>
                <w:szCs w:val="18"/>
              </w:rPr>
              <w:t>5</w:t>
            </w:r>
            <w:r>
              <w:rPr>
                <w:rFonts w:ascii="Arial" w:hAnsi="Arial" w:cs="Arial"/>
                <w:sz w:val="18"/>
                <w:szCs w:val="18"/>
              </w:rPr>
              <w:t xml:space="preserve"> </w:t>
            </w:r>
            <w:r w:rsidR="001E2FA6">
              <w:rPr>
                <w:rFonts w:ascii="Arial" w:hAnsi="Arial" w:cs="Arial"/>
                <w:sz w:val="18"/>
                <w:szCs w:val="18"/>
              </w:rPr>
              <w:t>kg</w:t>
            </w:r>
            <w:r>
              <w:rPr>
                <w:rFonts w:ascii="Arial" w:hAnsi="Arial" w:cs="Arial"/>
                <w:sz w:val="18"/>
                <w:szCs w:val="18"/>
              </w:rPr>
              <w:t>/m²</w:t>
            </w:r>
            <w:r w:rsidR="001E2FA6">
              <w:rPr>
                <w:rFonts w:ascii="Arial" w:hAnsi="Arial" w:cs="Arial"/>
                <w:sz w:val="18"/>
                <w:szCs w:val="18"/>
              </w:rPr>
              <w:t>/Arbeitsgang</w:t>
            </w:r>
          </w:p>
          <w:p w:rsidR="00137E72" w:rsidRPr="0092060F" w:rsidRDefault="00137E72" w:rsidP="009814D6">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060F" w:rsidRPr="0072027A" w:rsidRDefault="0092060F" w:rsidP="009814D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060F" w:rsidRPr="0072027A" w:rsidRDefault="0092060F" w:rsidP="009814D6">
            <w:pPr>
              <w:autoSpaceDE w:val="0"/>
              <w:autoSpaceDN w:val="0"/>
              <w:rPr>
                <w:rFonts w:ascii="Arial" w:hAnsi="Arial" w:cs="Arial"/>
                <w:sz w:val="18"/>
                <w:szCs w:val="18"/>
              </w:rPr>
            </w:pPr>
          </w:p>
        </w:tc>
      </w:tr>
    </w:tbl>
    <w:p w:rsidR="006221B8" w:rsidRPr="0072027A" w:rsidRDefault="006221B8"/>
    <w:p w:rsidR="006221B8" w:rsidRPr="0072027A" w:rsidRDefault="006221B8"/>
    <w:sectPr w:rsidR="006221B8" w:rsidRPr="0072027A"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D8" w:rsidRDefault="000463D8" w:rsidP="006202E6">
      <w:pPr>
        <w:spacing w:after="0" w:line="240" w:lineRule="auto"/>
      </w:pPr>
      <w:r>
        <w:separator/>
      </w:r>
    </w:p>
  </w:endnote>
  <w:endnote w:type="continuationSeparator" w:id="0">
    <w:p w:rsidR="000463D8" w:rsidRDefault="000463D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D8" w:rsidRDefault="000463D8" w:rsidP="006202E6">
      <w:pPr>
        <w:spacing w:after="0" w:line="240" w:lineRule="auto"/>
      </w:pPr>
      <w:r>
        <w:separator/>
      </w:r>
    </w:p>
  </w:footnote>
  <w:footnote w:type="continuationSeparator" w:id="0">
    <w:p w:rsidR="000463D8" w:rsidRDefault="000463D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46" w:rsidRDefault="002E0C46">
    <w:pPr>
      <w:pStyle w:val="Kopfzeile"/>
    </w:pPr>
  </w:p>
  <w:p w:rsidR="002E0C46" w:rsidRDefault="002E0C46">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9090"/>
  </w:hdrShapeDefaults>
  <w:footnotePr>
    <w:footnote w:id="-1"/>
    <w:footnote w:id="0"/>
  </w:footnotePr>
  <w:endnotePr>
    <w:endnote w:id="-1"/>
    <w:endnote w:id="0"/>
  </w:endnotePr>
  <w:compat/>
  <w:rsids>
    <w:rsidRoot w:val="006202E6"/>
    <w:rsid w:val="00000744"/>
    <w:rsid w:val="00024DAE"/>
    <w:rsid w:val="00031EED"/>
    <w:rsid w:val="000463D8"/>
    <w:rsid w:val="000939CD"/>
    <w:rsid w:val="000A6AC5"/>
    <w:rsid w:val="000B24C8"/>
    <w:rsid w:val="000B3103"/>
    <w:rsid w:val="000B4531"/>
    <w:rsid w:val="000D054B"/>
    <w:rsid w:val="000E01F5"/>
    <w:rsid w:val="00101969"/>
    <w:rsid w:val="0013655A"/>
    <w:rsid w:val="00137E72"/>
    <w:rsid w:val="00147FD5"/>
    <w:rsid w:val="00164D83"/>
    <w:rsid w:val="00186EDF"/>
    <w:rsid w:val="00187891"/>
    <w:rsid w:val="00187BF5"/>
    <w:rsid w:val="00192DB0"/>
    <w:rsid w:val="001A7820"/>
    <w:rsid w:val="001D0009"/>
    <w:rsid w:val="001E2FA6"/>
    <w:rsid w:val="001E6D02"/>
    <w:rsid w:val="00220081"/>
    <w:rsid w:val="00227BF8"/>
    <w:rsid w:val="00231589"/>
    <w:rsid w:val="00232C5A"/>
    <w:rsid w:val="00235283"/>
    <w:rsid w:val="0023794B"/>
    <w:rsid w:val="002479F8"/>
    <w:rsid w:val="00254303"/>
    <w:rsid w:val="00262924"/>
    <w:rsid w:val="00266240"/>
    <w:rsid w:val="002837A0"/>
    <w:rsid w:val="002B0430"/>
    <w:rsid w:val="002C0B89"/>
    <w:rsid w:val="002C5DD2"/>
    <w:rsid w:val="002E0C46"/>
    <w:rsid w:val="002E177A"/>
    <w:rsid w:val="002E75E3"/>
    <w:rsid w:val="002F29C9"/>
    <w:rsid w:val="00315C0C"/>
    <w:rsid w:val="003403DF"/>
    <w:rsid w:val="003541A1"/>
    <w:rsid w:val="00370602"/>
    <w:rsid w:val="003A6E86"/>
    <w:rsid w:val="003D0D87"/>
    <w:rsid w:val="003F16E4"/>
    <w:rsid w:val="00442951"/>
    <w:rsid w:val="0044303B"/>
    <w:rsid w:val="00465A32"/>
    <w:rsid w:val="00465C26"/>
    <w:rsid w:val="00476ECE"/>
    <w:rsid w:val="00484998"/>
    <w:rsid w:val="004A2D70"/>
    <w:rsid w:val="004A3F4E"/>
    <w:rsid w:val="004B00F7"/>
    <w:rsid w:val="004B2D45"/>
    <w:rsid w:val="004E65B0"/>
    <w:rsid w:val="004F686C"/>
    <w:rsid w:val="0050046E"/>
    <w:rsid w:val="00511B2B"/>
    <w:rsid w:val="005206E2"/>
    <w:rsid w:val="0054540D"/>
    <w:rsid w:val="0055231F"/>
    <w:rsid w:val="005675C3"/>
    <w:rsid w:val="00577B1D"/>
    <w:rsid w:val="005C4A94"/>
    <w:rsid w:val="005E0AEB"/>
    <w:rsid w:val="005E0D2A"/>
    <w:rsid w:val="00603C3F"/>
    <w:rsid w:val="006202E6"/>
    <w:rsid w:val="00621EF4"/>
    <w:rsid w:val="006221B8"/>
    <w:rsid w:val="00633671"/>
    <w:rsid w:val="00637164"/>
    <w:rsid w:val="00661F24"/>
    <w:rsid w:val="006A1C09"/>
    <w:rsid w:val="006A3F66"/>
    <w:rsid w:val="006B2414"/>
    <w:rsid w:val="006D59DC"/>
    <w:rsid w:val="006D6C35"/>
    <w:rsid w:val="006F5978"/>
    <w:rsid w:val="0071257F"/>
    <w:rsid w:val="0072027A"/>
    <w:rsid w:val="00740EB9"/>
    <w:rsid w:val="00752DCE"/>
    <w:rsid w:val="00754FC2"/>
    <w:rsid w:val="00761995"/>
    <w:rsid w:val="007B004B"/>
    <w:rsid w:val="007E79C8"/>
    <w:rsid w:val="007F5D26"/>
    <w:rsid w:val="00815C92"/>
    <w:rsid w:val="00817D19"/>
    <w:rsid w:val="00821931"/>
    <w:rsid w:val="00841FFC"/>
    <w:rsid w:val="00844F22"/>
    <w:rsid w:val="00850FFA"/>
    <w:rsid w:val="00861FFB"/>
    <w:rsid w:val="008707BD"/>
    <w:rsid w:val="008770C1"/>
    <w:rsid w:val="0088165E"/>
    <w:rsid w:val="00891F7E"/>
    <w:rsid w:val="008A2A2A"/>
    <w:rsid w:val="008C15C8"/>
    <w:rsid w:val="0090131F"/>
    <w:rsid w:val="0090436D"/>
    <w:rsid w:val="0092060F"/>
    <w:rsid w:val="0093781A"/>
    <w:rsid w:val="00947557"/>
    <w:rsid w:val="00976D87"/>
    <w:rsid w:val="009814D6"/>
    <w:rsid w:val="009A2684"/>
    <w:rsid w:val="009A6B08"/>
    <w:rsid w:val="009C0309"/>
    <w:rsid w:val="009C16BD"/>
    <w:rsid w:val="009C3BCB"/>
    <w:rsid w:val="009E3CD4"/>
    <w:rsid w:val="009E5B32"/>
    <w:rsid w:val="009F72C3"/>
    <w:rsid w:val="00A02A4B"/>
    <w:rsid w:val="00A1658D"/>
    <w:rsid w:val="00A74922"/>
    <w:rsid w:val="00A853E9"/>
    <w:rsid w:val="00AB055F"/>
    <w:rsid w:val="00AC0E14"/>
    <w:rsid w:val="00AE17AE"/>
    <w:rsid w:val="00AF1313"/>
    <w:rsid w:val="00AF415B"/>
    <w:rsid w:val="00B635FF"/>
    <w:rsid w:val="00B77BA1"/>
    <w:rsid w:val="00B80BAA"/>
    <w:rsid w:val="00B876AE"/>
    <w:rsid w:val="00B971BB"/>
    <w:rsid w:val="00BA2081"/>
    <w:rsid w:val="00BA279C"/>
    <w:rsid w:val="00BA3A03"/>
    <w:rsid w:val="00BA682E"/>
    <w:rsid w:val="00BA6856"/>
    <w:rsid w:val="00BF0D4F"/>
    <w:rsid w:val="00C44761"/>
    <w:rsid w:val="00C454EF"/>
    <w:rsid w:val="00C60A19"/>
    <w:rsid w:val="00C62BA1"/>
    <w:rsid w:val="00C76B2B"/>
    <w:rsid w:val="00C9563C"/>
    <w:rsid w:val="00CA6826"/>
    <w:rsid w:val="00CD340E"/>
    <w:rsid w:val="00CE1EE0"/>
    <w:rsid w:val="00D008E4"/>
    <w:rsid w:val="00D136E7"/>
    <w:rsid w:val="00D3481A"/>
    <w:rsid w:val="00D37967"/>
    <w:rsid w:val="00D40010"/>
    <w:rsid w:val="00D67EDC"/>
    <w:rsid w:val="00D7033D"/>
    <w:rsid w:val="00D966A6"/>
    <w:rsid w:val="00DA1A58"/>
    <w:rsid w:val="00DC0D86"/>
    <w:rsid w:val="00DD29E3"/>
    <w:rsid w:val="00DD33AE"/>
    <w:rsid w:val="00DE5D98"/>
    <w:rsid w:val="00E16366"/>
    <w:rsid w:val="00E179AD"/>
    <w:rsid w:val="00E264A5"/>
    <w:rsid w:val="00E56F73"/>
    <w:rsid w:val="00E6396A"/>
    <w:rsid w:val="00E647F3"/>
    <w:rsid w:val="00E77FC0"/>
    <w:rsid w:val="00E94526"/>
    <w:rsid w:val="00EA31BC"/>
    <w:rsid w:val="00EB6ABF"/>
    <w:rsid w:val="00EC4C83"/>
    <w:rsid w:val="00ED34C6"/>
    <w:rsid w:val="00EF6641"/>
    <w:rsid w:val="00EF7C1C"/>
    <w:rsid w:val="00F031EA"/>
    <w:rsid w:val="00F13C3A"/>
    <w:rsid w:val="00F15134"/>
    <w:rsid w:val="00F21D4A"/>
    <w:rsid w:val="00F249DE"/>
    <w:rsid w:val="00F301C4"/>
    <w:rsid w:val="00F3329B"/>
    <w:rsid w:val="00F635E8"/>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1935-C78B-4084-A87C-466839F2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48</cp:revision>
  <cp:lastPrinted>2011-07-07T06:36:00Z</cp:lastPrinted>
  <dcterms:created xsi:type="dcterms:W3CDTF">2011-07-20T12:44:00Z</dcterms:created>
  <dcterms:modified xsi:type="dcterms:W3CDTF">2013-02-20T14:13:00Z</dcterms:modified>
</cp:coreProperties>
</file>